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40"/>
        <w:pBdr/>
        <w:spacing/>
        <w:ind/>
        <w:rPr/>
      </w:pPr>
      <w:r/>
      <w:bookmarkStart w:id="12" w:name="_Toc203034083"/>
      <w:r>
        <w:t xml:space="preserve">Contenuti della relazione </w:t>
      </w:r>
      <w:r>
        <w:t xml:space="preserve">tecnica generale</w:t>
      </w:r>
      <w:bookmarkEnd w:id="12"/>
      <w:r/>
      <w:r/>
    </w:p>
    <w:p>
      <w:pPr>
        <w:pBdr/>
        <w:spacing/>
        <w:ind/>
        <w:rPr/>
      </w:pPr>
      <w:r>
        <w:t xml:space="preserve">1. INTRODUZIONE</w:t>
      </w:r>
      <w:r/>
      <w:r/>
    </w:p>
    <w:p>
      <w:pPr>
        <w:pBdr/>
        <w:spacing/>
        <w:ind w:left="709"/>
        <w:rPr>
          <w:sz w:val="24"/>
          <w:szCs w:val="24"/>
        </w:rPr>
      </w:pPr>
      <w:r>
        <w:rPr>
          <w:sz w:val="24"/>
          <w:szCs w:val="24"/>
        </w:rPr>
        <w:t xml:space="preserve">In questa sezione introduttiva, si deve presentare in modo chiaro e sintetico lo scopo del documento, il soggetto proponente e le caratteristiche principali dell'intervento proposto (potenza, comune, finalità agric</w:t>
      </w:r>
      <w:r>
        <w:rPr>
          <w:sz w:val="24"/>
          <w:szCs w:val="24"/>
        </w:rPr>
        <w:t xml:space="preserve">ola ed energetica). Si consiglia di essere concisi ma esaustivi, fornendo fin da subito al valutatore un quadro completo del progetto. È utile menzionare che l'impianto è stato progettato in conformità con le Linee Guida Ministeriali (LGM) e le specifiche </w:t>
      </w:r>
      <w:r>
        <w:rPr>
          <w:sz w:val="24"/>
          <w:szCs w:val="24"/>
        </w:rPr>
        <w:t xml:space="preserve">LiTAR</w:t>
      </w:r>
      <w:r>
        <w:rPr>
          <w:sz w:val="24"/>
          <w:szCs w:val="24"/>
        </w:rPr>
        <w:t xml:space="preserve"> della Regione Campania</w:t>
      </w:r>
      <w:r>
        <w:rPr>
          <w:sz w:val="24"/>
          <w:szCs w:val="24"/>
        </w:rPr>
      </w:r>
      <w:r>
        <w:rPr>
          <w:sz w:val="24"/>
          <w:szCs w:val="24"/>
        </w:rPr>
      </w:r>
    </w:p>
    <w:p>
      <w:pPr>
        <w:pBdr/>
        <w:spacing/>
        <w:ind/>
        <w:rPr/>
      </w:pPr>
      <w:r>
        <w:t xml:space="preserve">2. QUADRO NORMATIVO</w:t>
      </w:r>
      <w:r/>
      <w:r/>
    </w:p>
    <w:p>
      <w:pPr>
        <w:pBdr/>
        <w:spacing/>
        <w:ind w:left="709"/>
        <w:rPr>
          <w:sz w:val="24"/>
          <w:szCs w:val="24"/>
        </w:rPr>
      </w:pPr>
      <w:r>
        <w:rPr>
          <w:sz w:val="24"/>
          <w:szCs w:val="24"/>
        </w:rPr>
        <w:t xml:space="preserve">Si devono elencare e contestualizzare tutte le normative di riferimento, da quelle europee e nazionali (LGM, </w:t>
      </w:r>
      <w:r>
        <w:rPr>
          <w:sz w:val="24"/>
          <w:szCs w:val="24"/>
        </w:rPr>
        <w:t xml:space="preserve">D.Lgs.</w:t>
      </w:r>
      <w:r>
        <w:rPr>
          <w:sz w:val="24"/>
          <w:szCs w:val="24"/>
        </w:rPr>
        <w:t xml:space="preserve"> n. 387/2003) a quelle regionali (</w:t>
      </w:r>
      <w:r>
        <w:rPr>
          <w:sz w:val="24"/>
          <w:szCs w:val="24"/>
        </w:rPr>
        <w:t xml:space="preserve">LiTAR</w:t>
      </w:r>
      <w:r>
        <w:rPr>
          <w:sz w:val="24"/>
          <w:szCs w:val="24"/>
        </w:rPr>
        <w:t xml:space="preserve">), specificando la procedura autorizzativa scelta (es. PAUR, Autorizzazione Unica).</w:t>
      </w:r>
      <w:r>
        <w:rPr>
          <w:sz w:val="24"/>
          <w:szCs w:val="24"/>
        </w:rPr>
      </w:r>
      <w:r>
        <w:rPr>
          <w:sz w:val="24"/>
          <w:szCs w:val="24"/>
        </w:rPr>
      </w:r>
    </w:p>
    <w:p>
      <w:pPr>
        <w:pBdr/>
        <w:spacing/>
        <w:ind/>
        <w:rPr/>
      </w:pPr>
      <w:r>
        <w:t xml:space="preserve">3. DESCRIZIONE DELL’OPERA</w:t>
      </w:r>
      <w:r/>
      <w:r/>
    </w:p>
    <w:p>
      <w:pPr>
        <w:pBdr/>
        <w:spacing/>
        <w:ind w:left="709"/>
        <w:rPr>
          <w:sz w:val="24"/>
          <w:szCs w:val="24"/>
        </w:rPr>
      </w:pPr>
      <w:r>
        <w:rPr>
          <w:sz w:val="24"/>
          <w:szCs w:val="24"/>
        </w:rPr>
        <w:t xml:space="preserve">In questa sezione va fornita una descrizione qualitativa e quantitativa completa di tutte le opere che verranno realizzate: l'impianto agrivoltaico (moduli, inverter, strutture), le opere civili (viabilità, recinzioni, cabine) e le opere di mitig</w:t>
      </w:r>
      <w:r>
        <w:rPr>
          <w:sz w:val="24"/>
          <w:szCs w:val="24"/>
        </w:rPr>
        <w:t xml:space="preserve">azione (fasce boscate). La descrizione deve essere precisa. Ad esempio, per la viabilità di servizio, specificare se verranno usati materiali che impermeabilizzano il suolo, poiché questo ha implicazioni dirette sul calcolo della superficie agricola utile.</w:t>
      </w:r>
      <w:r>
        <w:rPr>
          <w:sz w:val="24"/>
          <w:szCs w:val="24"/>
        </w:rPr>
      </w:r>
      <w:r>
        <w:rPr>
          <w:sz w:val="24"/>
          <w:szCs w:val="24"/>
        </w:rPr>
      </w:r>
    </w:p>
    <w:p>
      <w:pPr>
        <w:pBdr/>
        <w:spacing/>
        <w:ind/>
        <w:rPr/>
      </w:pPr>
      <w:r>
        <w:t xml:space="preserve">4. UBICAZIONE DEL SITO E STATO DEI LUOGHI</w:t>
      </w:r>
      <w:r/>
      <w:r/>
    </w:p>
    <w:p>
      <w:pPr>
        <w:pBdr/>
        <w:spacing/>
        <w:ind w:left="709"/>
        <w:rPr>
          <w:sz w:val="24"/>
          <w:szCs w:val="24"/>
        </w:rPr>
      </w:pPr>
      <w:r>
        <w:rPr>
          <w:sz w:val="24"/>
          <w:szCs w:val="24"/>
        </w:rPr>
        <w:t xml:space="preserve">Descrivere l'are</w:t>
      </w:r>
      <w:r>
        <w:rPr>
          <w:sz w:val="24"/>
          <w:szCs w:val="24"/>
        </w:rPr>
        <w:t xml:space="preserve">a di progetto attraverso dati catastali, cartografie e un'analisi dello stato attuale dei luoghi (uso del suolo, vincoli, morfologia). È cruciale definire il perimetro del campo agrivoltaico. Attenersi strettamente alla definizione di perimetro data dalle </w:t>
      </w:r>
      <w:r>
        <w:rPr>
          <w:sz w:val="24"/>
          <w:szCs w:val="24"/>
        </w:rPr>
        <w:t xml:space="preserve">LiTAR</w:t>
      </w:r>
      <w:r>
        <w:rPr>
          <w:sz w:val="24"/>
          <w:szCs w:val="24"/>
        </w:rPr>
        <w:t xml:space="preserve">: la recinzione, posta a non più di 10 metri dal bordo esterno dei moduli. Questo è un punto chiave per evitare contestazioni sul calcolo delle superfici e va chiaramente motivato nel testo e rappresentato negli elaborati grafici.</w:t>
      </w:r>
      <w:r>
        <w:rPr>
          <w:sz w:val="24"/>
          <w:szCs w:val="24"/>
        </w:rPr>
      </w:r>
      <w:r>
        <w:rPr>
          <w:sz w:val="24"/>
          <w:szCs w:val="24"/>
        </w:rPr>
      </w:r>
    </w:p>
    <w:p>
      <w:pPr>
        <w:pBdr/>
        <w:spacing/>
        <w:ind/>
        <w:rPr/>
      </w:pPr>
      <w:r>
        <w:t xml:space="preserve">5. CARATTERISTICHE DELL’IMPIANTO AV</w:t>
      </w:r>
      <w:r/>
      <w:r/>
    </w:p>
    <w:p>
      <w:pPr>
        <w:pBdr/>
        <w:spacing/>
        <w:ind w:left="709"/>
        <w:rPr>
          <w:sz w:val="24"/>
          <w:szCs w:val="24"/>
        </w:rPr>
      </w:pPr>
      <w:r>
        <w:rPr>
          <w:sz w:val="24"/>
          <w:szCs w:val="24"/>
        </w:rPr>
        <w:t xml:space="preserve">Questa sezione è dedicata ai dettagli tecnici della componente fotovoltaica: potenza, layout, tipo</w:t>
      </w:r>
      <w:r>
        <w:rPr>
          <w:sz w:val="24"/>
          <w:szCs w:val="24"/>
        </w:rPr>
        <w:t xml:space="preserve">logia e numero dei componenti (moduli, inverter, strutture di supporto) e stima della produzione energetica annua. È importante che le caratteristiche tecniche descritte qui (in particolare l'altezza delle strutture e la loro tipologia) siano coerenti con </w:t>
      </w:r>
      <w:r>
        <w:rPr>
          <w:sz w:val="24"/>
          <w:szCs w:val="24"/>
        </w:rPr>
        <w:t xml:space="preserve">quanto dichiarato nella sezione agronomica e con i requisiti per gli impianti avanzati (Requisito C), se applicabile.</w:t>
      </w:r>
      <w:r>
        <w:rPr>
          <w:sz w:val="24"/>
          <w:szCs w:val="24"/>
        </w:rPr>
      </w:r>
      <w:r>
        <w:rPr>
          <w:sz w:val="24"/>
          <w:szCs w:val="24"/>
        </w:rPr>
      </w:r>
    </w:p>
    <w:p>
      <w:pPr>
        <w:pBdr/>
        <w:spacing/>
        <w:ind/>
        <w:rPr/>
      </w:pPr>
      <w:r>
        <w:t xml:space="preserve">6. CARATTERISTICHE E REQUISITI DEL SISTEMA AV E DEL SISTEMA DI MONITORAGGIO</w:t>
      </w:r>
      <w:r/>
      <w:r/>
    </w:p>
    <w:p>
      <w:pPr>
        <w:pBdr/>
        <w:spacing/>
        <w:ind w:left="709"/>
        <w:rPr/>
      </w:pPr>
      <w:r>
        <w:t xml:space="preserve">6.1 RISPETTO DEI REQUISITI</w:t>
      </w:r>
      <w:r/>
      <w:r/>
    </w:p>
    <w:p>
      <w:pPr>
        <w:pBdr/>
        <w:spacing/>
        <w:ind w:left="1417"/>
        <w:rPr>
          <w:sz w:val="24"/>
          <w:szCs w:val="24"/>
        </w:rPr>
      </w:pPr>
      <w:r>
        <w:rPr>
          <w:sz w:val="24"/>
          <w:szCs w:val="24"/>
        </w:rPr>
        <w:t xml:space="preserve">Una dichiarazione di sintesi in cui si afferma che il progetto è conforme ai requisiti LGM e </w:t>
      </w:r>
      <w:r>
        <w:rPr>
          <w:sz w:val="24"/>
          <w:szCs w:val="24"/>
        </w:rPr>
        <w:t xml:space="preserve">LiTAR</w:t>
      </w:r>
      <w:r>
        <w:rPr>
          <w:sz w:val="24"/>
          <w:szCs w:val="24"/>
        </w:rPr>
        <w:t xml:space="preserve"> per la tipologia di impianto proposta (base o avanzato).</w:t>
      </w:r>
      <w:r>
        <w:rPr>
          <w:sz w:val="24"/>
          <w:szCs w:val="24"/>
        </w:rPr>
      </w:r>
      <w:r>
        <w:rPr>
          <w:sz w:val="24"/>
          <w:szCs w:val="24"/>
        </w:rPr>
      </w:r>
    </w:p>
    <w:p>
      <w:pPr>
        <w:pBdr/>
        <w:spacing/>
        <w:ind w:left="709"/>
        <w:rPr/>
      </w:pPr>
      <w:r>
        <w:t xml:space="preserve">6.2 REQUISITO A</w:t>
      </w:r>
      <w:r/>
      <w:r/>
    </w:p>
    <w:p>
      <w:pPr>
        <w:pBdr/>
        <w:spacing/>
        <w:ind w:left="1417"/>
        <w:rPr>
          <w:sz w:val="24"/>
          <w:szCs w:val="24"/>
        </w:rPr>
      </w:pPr>
      <w:r>
        <w:rPr>
          <w:sz w:val="24"/>
          <w:szCs w:val="24"/>
        </w:rPr>
        <w:t xml:space="preserve">Dimostrare numericamente il rispetto dei requisiti A.1 (</w:t>
      </w:r>
      <w:r>
        <w:rPr>
          <w:sz w:val="24"/>
          <w:szCs w:val="24"/>
        </w:rPr>
        <w:t xml:space="preserve">Sagricola</w:t>
      </w:r>
      <w:r>
        <w:rPr>
          <w:sz w:val="24"/>
          <w:szCs w:val="24"/>
        </w:rPr>
        <w:t xml:space="preserve"> ≥ 70% </w:t>
      </w:r>
      <w:r>
        <w:rPr>
          <w:sz w:val="24"/>
          <w:szCs w:val="24"/>
        </w:rPr>
        <w:t xml:space="preserve">Stot</w:t>
      </w:r>
      <w:r>
        <w:rPr>
          <w:sz w:val="24"/>
          <w:szCs w:val="24"/>
        </w:rPr>
        <w:t xml:space="preserve">) e A.2 (LAOR ≤ 40%). Utilizzare le tabelle di calcolo fornite nelle </w:t>
      </w:r>
      <w:r>
        <w:rPr>
          <w:sz w:val="24"/>
          <w:szCs w:val="24"/>
        </w:rPr>
        <w:t xml:space="preserve">LiTAR</w:t>
      </w:r>
      <w:r>
        <w:rPr>
          <w:sz w:val="24"/>
          <w:szCs w:val="24"/>
        </w:rPr>
        <w:t xml:space="preserve">. È fondamentale e</w:t>
      </w:r>
      <w:r>
        <w:rPr>
          <w:sz w:val="24"/>
          <w:szCs w:val="24"/>
        </w:rPr>
        <w:t xml:space="preserve">splicitare i criteri di calcolo della superficie non agricola, includendo la proiezione ortogonale dei moduli, le cabine e la viabilità impermeabilizzata. Se ci sono sottocampi, verificare che ognuno rispetti la deviazione massima del 5% sul requisito A.1.</w:t>
      </w:r>
      <w:r>
        <w:rPr>
          <w:sz w:val="24"/>
          <w:szCs w:val="24"/>
        </w:rPr>
      </w:r>
      <w:r>
        <w:rPr>
          <w:sz w:val="24"/>
          <w:szCs w:val="24"/>
        </w:rPr>
      </w:r>
    </w:p>
    <w:p>
      <w:pPr>
        <w:pBdr/>
        <w:spacing/>
        <w:ind w:left="709"/>
        <w:rPr/>
      </w:pPr>
      <w:r>
        <w:t xml:space="preserve">6.3 REQUISITO B</w:t>
      </w:r>
      <w:r/>
      <w:r/>
    </w:p>
    <w:p>
      <w:pPr>
        <w:pBdr/>
        <w:spacing/>
        <w:ind w:left="1417"/>
        <w:rPr>
          <w:sz w:val="24"/>
          <w:szCs w:val="24"/>
        </w:rPr>
      </w:pPr>
      <w:r>
        <w:rPr>
          <w:sz w:val="24"/>
          <w:szCs w:val="24"/>
        </w:rPr>
        <w:t xml:space="preserve">Dimostrare la continuità dell'attività agricola (B.1) e la producibilità e</w:t>
      </w:r>
      <w:r>
        <w:rPr>
          <w:sz w:val="24"/>
          <w:szCs w:val="24"/>
        </w:rPr>
        <w:t xml:space="preserve">lettrica minima (B.2). Per il requisito B.1, fare riferimento alla relazione agronomica per dimostrare il mantenimento del valore economico della produzione, calcolando la Produzione Standard e assicurando che la sua eventuale diminuzione non superi il 15%</w:t>
      </w:r>
      <w:r>
        <w:rPr>
          <w:sz w:val="24"/>
          <w:szCs w:val="24"/>
        </w:rPr>
        <w:t xml:space="preserve"> </w:t>
      </w:r>
      <w:r>
        <w:rPr>
          <w:sz w:val="24"/>
          <w:szCs w:val="24"/>
        </w:rPr>
        <w:t xml:space="preserve">Dichiarare che l'azienda agricola possiede o aggiornerà il fascicolo aziendale.</w:t>
      </w:r>
      <w:r>
        <w:rPr>
          <w:sz w:val="24"/>
          <w:szCs w:val="24"/>
        </w:rPr>
      </w:r>
      <w:r>
        <w:rPr>
          <w:sz w:val="24"/>
          <w:szCs w:val="24"/>
        </w:rPr>
      </w:r>
    </w:p>
    <w:p>
      <w:pPr>
        <w:pBdr/>
        <w:spacing/>
        <w:ind w:left="709"/>
        <w:rPr/>
      </w:pPr>
      <w:r>
        <w:t xml:space="preserve">6.4 REQUISITO D.2 (qualora trattasi di impianto agrivoltaico base)</w:t>
      </w:r>
      <w:r/>
      <w:r/>
    </w:p>
    <w:p>
      <w:pPr>
        <w:pBdr/>
        <w:spacing/>
        <w:ind w:left="1417"/>
        <w:rPr>
          <w:sz w:val="24"/>
          <w:szCs w:val="24"/>
        </w:rPr>
      </w:pPr>
      <w:r>
        <w:rPr>
          <w:sz w:val="24"/>
          <w:szCs w:val="24"/>
        </w:rPr>
        <w:t xml:space="preserve">Descrivere il sistema di monitoraggio che verificherà la continuità dell'attività agricola, l'impatto sulle colture e la produttività. La relazione deve anticipare i contenuti che verranno forniti nelle relazioni annuali </w:t>
      </w:r>
      <w:r>
        <w:rPr>
          <w:i/>
          <w:iCs/>
          <w:sz w:val="24"/>
          <w:szCs w:val="24"/>
        </w:rPr>
        <w:t xml:space="preserve">post</w:t>
      </w:r>
      <w:r>
        <w:rPr>
          <w:i/>
          <w:iCs/>
          <w:sz w:val="24"/>
          <w:szCs w:val="24"/>
        </w:rPr>
        <w:t xml:space="preserve"> </w:t>
      </w:r>
      <w:r>
        <w:rPr>
          <w:i/>
          <w:iCs/>
          <w:sz w:val="24"/>
          <w:szCs w:val="24"/>
        </w:rPr>
        <w:t xml:space="preserve">operam</w:t>
      </w:r>
      <w:r>
        <w:rPr>
          <w:sz w:val="24"/>
          <w:szCs w:val="24"/>
        </w:rPr>
        <w:t xml:space="preserve"> (come da Quadro B), quali l'attuazione degli accordi di cooperazione, la descrizione dell'ordinamento colturale e la destinazione della produzione.</w:t>
      </w:r>
      <w:r>
        <w:rPr>
          <w:sz w:val="24"/>
          <w:szCs w:val="24"/>
        </w:rPr>
      </w:r>
      <w:r>
        <w:rPr>
          <w:sz w:val="24"/>
          <w:szCs w:val="24"/>
        </w:rPr>
      </w:r>
    </w:p>
    <w:p>
      <w:pPr>
        <w:pBdr/>
        <w:spacing/>
        <w:ind w:left="709"/>
        <w:rPr/>
      </w:pPr>
      <w:r>
        <w:t xml:space="preserve">6.5 REQUISITO C</w:t>
      </w:r>
      <w:r/>
      <w:r/>
    </w:p>
    <w:p>
      <w:pPr>
        <w:pBdr/>
        <w:spacing/>
        <w:ind w:left="1417"/>
        <w:rPr>
          <w:sz w:val="24"/>
          <w:szCs w:val="24"/>
        </w:rPr>
      </w:pPr>
      <w:r>
        <w:rPr>
          <w:sz w:val="24"/>
          <w:szCs w:val="24"/>
        </w:rPr>
        <w:t xml:space="preserve">Descrivere le soluzioni innovative con moduli elevati da terra, rispettando le altezze minime. Riportare le altezze minime standard (1,3 m per zootecnia, 2,1 m per colture) ma, soprattutto, dichiarare il rispetto della prescrizione specifica delle </w:t>
      </w:r>
      <w:r>
        <w:rPr>
          <w:sz w:val="24"/>
          <w:szCs w:val="24"/>
        </w:rPr>
        <w:t xml:space="preserve">LiTAR</w:t>
      </w:r>
      <w:r>
        <w:rPr>
          <w:sz w:val="24"/>
          <w:szCs w:val="24"/>
        </w:rPr>
        <w:t xml:space="preserve"> per gli inseguitori: l'altezza con modulo a 0° (parallelo al suolo) deve essere non inferiore a 3,1 m (colture) o 2,3 m (zootecnia).</w:t>
      </w:r>
      <w:r>
        <w:rPr>
          <w:sz w:val="24"/>
          <w:szCs w:val="24"/>
        </w:rPr>
      </w:r>
      <w:r>
        <w:rPr>
          <w:sz w:val="24"/>
          <w:szCs w:val="24"/>
        </w:rPr>
      </w:r>
    </w:p>
    <w:p>
      <w:pPr>
        <w:pBdr/>
        <w:spacing/>
        <w:ind w:left="709"/>
        <w:rPr/>
      </w:pPr>
      <w:r>
        <w:t xml:space="preserve">6.6 REQUISITO D</w:t>
      </w:r>
      <w:r/>
      <w:r/>
    </w:p>
    <w:p>
      <w:pPr>
        <w:pBdr/>
        <w:spacing/>
        <w:ind w:left="1417"/>
        <w:rPr>
          <w:sz w:val="24"/>
          <w:szCs w:val="24"/>
        </w:rPr>
      </w:pPr>
      <w:r>
        <w:rPr>
          <w:sz w:val="24"/>
          <w:szCs w:val="24"/>
        </w:rPr>
        <w:t xml:space="preserve">Descrivere il sistema di monitoraggio per il risparmio idrico (D.1). Indicare chiaramente le forme di approvvigionamento idrico, il metodo di irrigazione, i sistemi di misura che verranno installati e la frequenza dei rilevamenti, come richiesto dalle </w:t>
      </w:r>
      <w:r>
        <w:rPr>
          <w:sz w:val="24"/>
          <w:szCs w:val="24"/>
        </w:rPr>
        <w:t xml:space="preserve">LiTAR</w:t>
      </w:r>
      <w:r>
        <w:rPr>
          <w:sz w:val="24"/>
          <w:szCs w:val="24"/>
        </w:rPr>
        <w:t xml:space="preserve">. Per le aree non irrigue, specificare che il monitoraggio avverrà con metodi indiretti.</w:t>
      </w:r>
      <w:r>
        <w:rPr>
          <w:sz w:val="24"/>
          <w:szCs w:val="24"/>
        </w:rPr>
      </w:r>
      <w:r>
        <w:rPr>
          <w:sz w:val="24"/>
          <w:szCs w:val="24"/>
        </w:rPr>
      </w:r>
    </w:p>
    <w:p>
      <w:pPr>
        <w:pBdr/>
        <w:spacing/>
        <w:ind w:left="1417"/>
        <w:rPr>
          <w:sz w:val="24"/>
          <w:szCs w:val="24"/>
        </w:rPr>
      </w:pPr>
      <w:r>
        <w:rPr>
          <w:sz w:val="24"/>
          <w:szCs w:val="24"/>
        </w:rPr>
      </w:r>
      <w:r>
        <w:rPr>
          <w:sz w:val="24"/>
          <w:szCs w:val="24"/>
        </w:rPr>
      </w:r>
      <w:r>
        <w:rPr>
          <w:sz w:val="24"/>
          <w:szCs w:val="24"/>
        </w:rPr>
      </w:r>
    </w:p>
    <w:p>
      <w:pPr>
        <w:pBdr/>
        <w:spacing/>
        <w:ind w:left="709"/>
        <w:rPr/>
      </w:pPr>
      <w:r>
        <w:t xml:space="preserve">6.7 REQUISITO E</w:t>
      </w:r>
      <w:r/>
      <w:r/>
    </w:p>
    <w:p>
      <w:pPr>
        <w:pBdr/>
        <w:spacing/>
        <w:ind w:left="1417"/>
        <w:rPr>
          <w:sz w:val="24"/>
          <w:szCs w:val="24"/>
        </w:rPr>
      </w:pPr>
      <w:r>
        <w:rPr>
          <w:sz w:val="24"/>
          <w:szCs w:val="24"/>
        </w:rPr>
        <w:t xml:space="preserve">Descrivere il sistema di monitoraggio per la fertilità del suolo (E.1), il microclima (E.2) e la resilienza (E.3). Anticipare in questa sezione le azioni che verranno intraprese per soddisfare quanto richiesto dal Quadro C del documento </w:t>
      </w:r>
      <w:r>
        <w:rPr>
          <w:sz w:val="24"/>
          <w:szCs w:val="24"/>
        </w:rPr>
        <w:t xml:space="preserve">LiTAR</w:t>
      </w:r>
      <w:r>
        <w:rPr>
          <w:sz w:val="24"/>
          <w:szCs w:val="24"/>
        </w:rPr>
        <w:t xml:space="preserve">. Ciò include l'elenco delle analisi chimico-fisiche sul suolo (carbonio organico, C/N, pH, ecc.) e la descrizione del sistema di sensori e capannine meteo da installare.</w:t>
      </w:r>
      <w:r>
        <w:rPr>
          <w:sz w:val="24"/>
          <w:szCs w:val="24"/>
        </w:rPr>
      </w:r>
      <w:r>
        <w:rPr>
          <w:sz w:val="24"/>
          <w:szCs w:val="24"/>
        </w:rPr>
      </w:r>
    </w:p>
    <w:p>
      <w:pPr>
        <w:pBdr/>
        <w:spacing/>
        <w:ind w:left="709"/>
        <w:rPr/>
      </w:pPr>
      <w:r>
        <w:t xml:space="preserve">6.8 NORMATIVE TECNICHE CEI E DI SICUREZZA ELETTRICA</w:t>
      </w:r>
      <w:r/>
      <w:r/>
    </w:p>
    <w:p>
      <w:pPr>
        <w:pBdr/>
        <w:spacing/>
        <w:ind w:left="1417"/>
        <w:rPr>
          <w:sz w:val="24"/>
          <w:szCs w:val="24"/>
        </w:rPr>
      </w:pPr>
      <w:r>
        <w:rPr>
          <w:sz w:val="24"/>
          <w:szCs w:val="24"/>
        </w:rPr>
        <w:t xml:space="preserve">Elencare le normative tecniche CEI applicate al progetto, con particolare riferimento alla sicurezza. Fare esplicito riferimento alla Tabella 4 delle </w:t>
      </w:r>
      <w:r>
        <w:rPr>
          <w:sz w:val="24"/>
          <w:szCs w:val="24"/>
        </w:rPr>
        <w:t xml:space="preserve">LiTAR</w:t>
      </w:r>
      <w:r>
        <w:rPr>
          <w:sz w:val="24"/>
          <w:szCs w:val="24"/>
        </w:rPr>
        <w:t xml:space="preserve">, che riporta le raccomandazioni delle norme CEI PAS 82-93. Dichiarare che il progetto rispetta tali norme e che, al termine dei lavori, verranno forniti il certificato di collaudo e di conformità elettrica.</w:t>
      </w:r>
      <w:r>
        <w:rPr>
          <w:sz w:val="24"/>
          <w:szCs w:val="24"/>
        </w:rPr>
      </w:r>
      <w:r>
        <w:rPr>
          <w:sz w:val="24"/>
          <w:szCs w:val="24"/>
        </w:rPr>
      </w:r>
    </w:p>
    <w:p>
      <w:pPr>
        <w:pBdr/>
        <w:spacing/>
        <w:ind w:left="709"/>
        <w:rPr/>
      </w:pPr>
      <w:r>
        <w:t xml:space="preserve">6.9 ULTERIORI PRESCRIZIONI TECNICHE</w:t>
      </w:r>
      <w:r/>
      <w:r/>
    </w:p>
    <w:p>
      <w:pPr>
        <w:pBdr/>
        <w:spacing/>
        <w:ind w:left="1417"/>
        <w:rPr>
          <w:sz w:val="24"/>
          <w:szCs w:val="24"/>
          <w:highlight w:val="none"/>
        </w:rPr>
      </w:pPr>
      <w:r>
        <w:rPr>
          <w:sz w:val="24"/>
          <w:szCs w:val="24"/>
        </w:rPr>
        <w:t xml:space="preserve">Includere qui le misure aggiuntive di sicurezza e le prescrizioni specifiche per contesti particolari (es. aree DOP/IGP). Riportare le raccomandazioni aggiuntive delle </w:t>
      </w:r>
      <w:r>
        <w:rPr>
          <w:sz w:val="24"/>
          <w:szCs w:val="24"/>
        </w:rPr>
        <w:t xml:space="preserve">LiTAR</w:t>
      </w:r>
      <w:r>
        <w:rPr>
          <w:sz w:val="24"/>
          <w:szCs w:val="24"/>
        </w:rPr>
        <w:t xml:space="preserve">, come la profondità minima di posa dei cavi</w:t>
      </w:r>
      <w:r>
        <w:rPr>
          <w:sz w:val="24"/>
          <w:szCs w:val="24"/>
        </w:rPr>
        <w:t xml:space="preserve"> (almeno 60 cm) e l'installazione di segnaletica di avviso per le linee elettriche. Se l'impianto ricade in aree viticole o olivicole di pregio, dichiarare il rispetto delle condizioni specifiche sull'espianto (non più del 10%) e sul reimpianto anticipato.</w:t>
      </w:r>
      <w:r>
        <w:rPr>
          <w:sz w:val="24"/>
          <w:szCs w:val="24"/>
        </w:rPr>
      </w:r>
      <w:r>
        <w:rPr>
          <w:sz w:val="24"/>
          <w:szCs w:val="24"/>
        </w:rPr>
      </w:r>
    </w:p>
    <w:p>
      <w:pPr>
        <w:pBdr/>
        <w:spacing/>
        <w:ind w:left="0"/>
        <w:rPr>
          <w:sz w:val="24"/>
          <w:szCs w:val="24"/>
        </w:rPr>
      </w:pPr>
      <w:r>
        <w:rPr>
          <w:sz w:val="24"/>
          <w:szCs w:val="24"/>
          <w:highlight w:val="none"/>
        </w:rPr>
      </w:r>
      <w:r>
        <w:rPr>
          <w:sz w:val="24"/>
          <w:szCs w:val="24"/>
          <w:highlight w:val="none"/>
        </w:rPr>
      </w:r>
    </w:p>
    <w:p>
      <w:pPr>
        <w:pStyle w:val="140"/>
        <w:pBdr/>
        <w:spacing/>
        <w:ind/>
        <w:rPr/>
      </w:pPr>
      <w:r/>
      <w:bookmarkStart w:id="13" w:name="_Toc203034084"/>
      <w:r>
        <w:t xml:space="preserve">Contenuti della relazione agronomica</w:t>
      </w:r>
      <w:bookmarkEnd w:id="13"/>
      <w:r/>
      <w:r/>
    </w:p>
    <w:p>
      <w:pPr>
        <w:pStyle w:val="668"/>
        <w:numPr>
          <w:ilvl w:val="0"/>
          <w:numId w:val="1"/>
        </w:numPr>
        <w:pBdr/>
        <w:spacing/>
        <w:ind/>
        <w:rPr>
          <w14:ligatures w14:val="none"/>
        </w:rPr>
      </w:pPr>
      <w:r>
        <w:t xml:space="preserve">INQUADRAMENTO TERRITORIALE</w:t>
      </w:r>
      <w:r/>
      <w:r/>
    </w:p>
    <w:p>
      <w:pPr>
        <w:pStyle w:val="668"/>
        <w:numPr>
          <w:ilvl w:val="0"/>
          <w:numId w:val="1"/>
        </w:numPr>
        <w:pBdr/>
        <w:spacing/>
        <w:ind/>
        <w:rPr/>
      </w:pPr>
      <w:r>
        <w:t xml:space="preserve">CARATTERISTICHE DEL SISTEMA AGRARIO ATTUALE DELL’AREA DI PROGETTO</w:t>
      </w:r>
      <w:r/>
      <w:r/>
    </w:p>
    <w:p>
      <w:pPr>
        <w:pBdr/>
        <w:spacing/>
        <w:ind w:left="709"/>
        <w:rPr>
          <w:sz w:val="24"/>
          <w:szCs w:val="24"/>
        </w:rPr>
      </w:pPr>
      <w:r>
        <w:rPr>
          <w:sz w:val="24"/>
          <w:szCs w:val="24"/>
        </w:rPr>
        <w:t xml:space="preserve">In termini di: col</w:t>
      </w:r>
      <w:r>
        <w:rPr>
          <w:sz w:val="24"/>
          <w:szCs w:val="24"/>
        </w:rPr>
        <w:t xml:space="preserve">ture (specie e varietà); Lavorazioni; Gestione della fertilità; Gestione dell’irrigazione; Gestione della difesa fitopatologica; Raccolta e rese. Nel caso di indirizzo zootecnico: specie animali utilizzate; dotazione in ricoveri/stalle, tipo di produzione.</w:t>
      </w:r>
      <w:r>
        <w:rPr>
          <w:sz w:val="24"/>
          <w:szCs w:val="24"/>
        </w:rPr>
      </w:r>
      <w:r>
        <w:rPr>
          <w:sz w:val="24"/>
          <w:szCs w:val="24"/>
        </w:rPr>
      </w:r>
    </w:p>
    <w:p>
      <w:pPr>
        <w:pStyle w:val="668"/>
        <w:numPr>
          <w:ilvl w:val="0"/>
          <w:numId w:val="1"/>
        </w:numPr>
        <w:pBdr/>
        <w:spacing/>
        <w:ind/>
        <w:rPr/>
      </w:pPr>
      <w:r>
        <w:t xml:space="preserve">PROPOSTA DI PIANO COLTURALE PER IL CAMPO AGRIVOLTAICO</w:t>
      </w:r>
      <w:r/>
      <w:r/>
    </w:p>
    <w:p>
      <w:pPr>
        <w:pBdr/>
        <w:spacing/>
        <w:ind w:left="709"/>
        <w:rPr>
          <w:sz w:val="24"/>
          <w:szCs w:val="24"/>
        </w:rPr>
      </w:pPr>
      <w:r>
        <w:rPr>
          <w:sz w:val="24"/>
          <w:szCs w:val="24"/>
        </w:rPr>
        <w:t xml:space="preserve">In termini di: scelta delle colture (specie e varietà); Lavorazioni (mezzi per l’attività agricola e gestione degli spazi di manovra); Gestione della fertilità; Gestione dell’irrigazione (le for</w:t>
      </w:r>
      <w:r>
        <w:rPr>
          <w:sz w:val="24"/>
          <w:szCs w:val="24"/>
        </w:rPr>
        <w:t xml:space="preserve">me di approvvigionamento idrico aziendale - superficiale e/o sotterraneo; il metodo di irrigazione; i sistemi di misura e i tipi di misuratori già installati o che verranno installati ai fini del monitoraggio negli anni successivi all’entrata in esercizio </w:t>
      </w:r>
      <w:r>
        <w:rPr>
          <w:sz w:val="24"/>
          <w:szCs w:val="24"/>
        </w:rPr>
        <w:t xml:space="preserve">dell’AVa</w:t>
      </w:r>
      <w:r>
        <w:rPr>
          <w:sz w:val="24"/>
          <w:szCs w:val="24"/>
        </w:rPr>
        <w:t xml:space="preserve">; la frequenza di rilevamento dei consumi); Gestione della difesa fitopatologica; Ra</w:t>
      </w:r>
      <w:r>
        <w:rPr>
          <w:sz w:val="24"/>
          <w:szCs w:val="24"/>
        </w:rPr>
        <w:t xml:space="preserve">ccolta e rese attese. Nel caso di utilizzo zootecnico del campo agrivoltaico andranno descritte: specie animali utilizzate; dotazione in ricoveri/stalle, tipo di produzione. In caso di inserimenti di allevamenti apistici descrizione degli alveari, iscritti</w:t>
      </w:r>
      <w:r>
        <w:rPr>
          <w:sz w:val="24"/>
          <w:szCs w:val="24"/>
        </w:rPr>
        <w:t xml:space="preserve">,</w:t>
      </w:r>
      <w:r>
        <w:rPr>
          <w:sz w:val="24"/>
          <w:szCs w:val="24"/>
        </w:rPr>
        <w:t xml:space="preserve"> </w:t>
      </w:r>
      <w:r>
        <w:rPr>
          <w:sz w:val="24"/>
          <w:szCs w:val="24"/>
        </w:rPr>
        <w:t xml:space="preserve">o che lo saranno, </w:t>
      </w:r>
      <w:r>
        <w:rPr>
          <w:sz w:val="24"/>
          <w:szCs w:val="24"/>
        </w:rPr>
        <w:t xml:space="preserve">nella “Banda Dati Apistica Regionale”, e delle specie nettarifere e pollinifere utilizzate</w:t>
      </w:r>
      <w:r>
        <w:rPr>
          <w:sz w:val="24"/>
          <w:szCs w:val="24"/>
        </w:rPr>
        <w:footnoteReference w:id="2"/>
      </w:r>
      <w:r>
        <w:rPr>
          <w:sz w:val="24"/>
          <w:szCs w:val="24"/>
        </w:rPr>
        <w:t xml:space="preserve">.</w:t>
      </w:r>
      <w:r>
        <w:rPr>
          <w:sz w:val="24"/>
          <w:szCs w:val="24"/>
        </w:rPr>
        <w:t xml:space="preserve"> In ogni caso, la determinazione del</w:t>
      </w:r>
      <w:r>
        <w:rPr>
          <w:sz w:val="24"/>
          <w:szCs w:val="24"/>
        </w:rPr>
        <w:t xml:space="preserve"> numero più adatto di arnie e alveari per l'apicoltura stanziale in Campania risiede nel concetto di capacità portante: andrà valutato il potenziale mellifero del territorio e la continuità e la diversità del pascolo durante l'intero arco dell'anno. Andrà </w:t>
      </w:r>
      <w:r>
        <w:rPr>
          <w:sz w:val="24"/>
          <w:szCs w:val="24"/>
        </w:rPr>
        <w:t xml:space="preserve">inoltre </w:t>
      </w:r>
      <w:r>
        <w:rPr>
          <w:sz w:val="24"/>
          <w:szCs w:val="24"/>
        </w:rPr>
        <w:t xml:space="preserve">rappresentato un calcolo che tenga conto del Potenziale mellifero dell’area, del Potenziale sostenibile (25%) del Fabbisogno annuale della colonia (160 kg/ha max) e consenta quindi di valutare la Densità sostenibile.</w:t>
      </w:r>
      <w:r>
        <w:rPr>
          <w:sz w:val="24"/>
          <w:szCs w:val="24"/>
        </w:rPr>
      </w:r>
      <w:r>
        <w:rPr>
          <w:sz w:val="24"/>
          <w:szCs w:val="24"/>
        </w:rPr>
      </w:r>
    </w:p>
    <w:p>
      <w:pPr>
        <w:pStyle w:val="668"/>
        <w:numPr>
          <w:ilvl w:val="0"/>
          <w:numId w:val="1"/>
        </w:numPr>
        <w:pBdr/>
        <w:spacing/>
        <w:ind/>
        <w:rPr/>
      </w:pPr>
      <w:r>
        <w:t xml:space="preserve">ANALISI ECONOMICA </w:t>
      </w:r>
      <w:r>
        <w:t xml:space="preserve">(in termini di </w:t>
      </w:r>
      <w:r>
        <w:t xml:space="preserve">PRODUZIONE LORDA VENDIBILE)</w:t>
      </w:r>
      <w:r/>
      <w:r/>
    </w:p>
    <w:p>
      <w:pPr>
        <w:pBdr/>
        <w:spacing/>
        <w:ind w:left="709"/>
        <w:rPr>
          <w:sz w:val="24"/>
          <w:szCs w:val="24"/>
        </w:rPr>
      </w:pPr>
      <w:r>
        <w:rPr>
          <w:sz w:val="24"/>
          <w:szCs w:val="24"/>
        </w:rPr>
        <w:t xml:space="preserve">In questo paragrafo si richiede di riportare quanto di seguito indicato:</w:t>
      </w:r>
      <w:r>
        <w:rPr>
          <w:sz w:val="24"/>
          <w:szCs w:val="24"/>
        </w:rPr>
      </w:r>
      <w:r>
        <w:rPr>
          <w:sz w:val="24"/>
          <w:szCs w:val="24"/>
        </w:rPr>
      </w:r>
    </w:p>
    <w:p>
      <w:pPr>
        <w:pBdr>
          <w:top w:val="none" w:color="000000" w:sz="4" w:space="0"/>
          <w:left w:val="none" w:color="000000" w:sz="4" w:space="0"/>
          <w:bottom w:val="none" w:color="000000" w:sz="4" w:space="0"/>
          <w:right w:val="none" w:color="000000" w:sz="4" w:space="0"/>
        </w:pBdr>
        <w:spacing w:after="0" w:line="276" w:lineRule="atLeast"/>
        <w:ind w:left="709"/>
        <w:jc w:val="left"/>
        <w:rPr/>
      </w:pPr>
      <w:r>
        <w:rPr>
          <w:rFonts w:ascii="Calibri" w:hAnsi="Calibri" w:eastAsia="Calibri" w:cs="Calibri"/>
          <w:b/>
          <w:color w:val="000000"/>
          <w:sz w:val="22"/>
        </w:rPr>
        <w:t xml:space="preserve">a) Operazioni colturali:</w:t>
      </w:r>
      <w:r/>
      <w:r/>
    </w:p>
    <w:p>
      <w:pPr>
        <w:pBdr>
          <w:top w:val="none" w:color="000000" w:sz="4" w:space="0"/>
          <w:left w:val="none" w:color="000000" w:sz="4" w:space="0"/>
          <w:bottom w:val="none" w:color="000000" w:sz="4" w:space="0"/>
          <w:right w:val="none" w:color="000000" w:sz="4" w:space="0"/>
        </w:pBdr>
        <w:spacing w:after="0" w:line="276" w:lineRule="atLeast"/>
        <w:ind w:left="992"/>
        <w:jc w:val="left"/>
        <w:rPr>
          <w:szCs w:val="24"/>
        </w:rPr>
      </w:pPr>
      <w:r>
        <w:rPr>
          <w:rFonts w:ascii="Calibri" w:hAnsi="Calibri" w:eastAsia="Calibri" w:cs="Calibri"/>
          <w:color w:val="000000"/>
          <w:sz w:val="22"/>
        </w:rPr>
        <w:t xml:space="preserve">a.1) Lavorazione del terreno; a.3) Gestione erbe infestanti; a.4) Concimazione; a.5) Trattamenti fitosanitari; a.6) Raccolta e trasporto; a.7) Irrigazione; a.8) Potatura</w:t>
      </w:r>
      <w:r>
        <w:rPr>
          <w:szCs w:val="24"/>
        </w:rPr>
      </w:r>
      <w:r>
        <w:rPr>
          <w:szCs w:val="24"/>
        </w:rPr>
      </w:r>
    </w:p>
    <w:p>
      <w:pPr>
        <w:pBdr>
          <w:top w:val="none" w:color="000000" w:sz="4" w:space="0"/>
          <w:left w:val="none" w:color="000000" w:sz="4" w:space="0"/>
          <w:bottom w:val="none" w:color="000000" w:sz="4" w:space="0"/>
          <w:right w:val="none" w:color="000000" w:sz="4" w:space="0"/>
        </w:pBdr>
        <w:spacing w:after="0" w:line="276" w:lineRule="atLeast"/>
        <w:ind w:left="709"/>
        <w:jc w:val="left"/>
        <w:rPr/>
      </w:pPr>
      <w:r>
        <w:rPr>
          <w:rFonts w:ascii="Calibri" w:hAnsi="Calibri" w:eastAsia="Calibri" w:cs="Calibri"/>
          <w:b/>
          <w:color w:val="000000"/>
          <w:sz w:val="22"/>
        </w:rPr>
        <w:t xml:space="preserve">b) Mezzi tecnici</w:t>
      </w:r>
      <w:r/>
      <w:r/>
    </w:p>
    <w:p>
      <w:pPr>
        <w:pBdr>
          <w:top w:val="none" w:color="000000" w:sz="4" w:space="0"/>
          <w:left w:val="none" w:color="000000" w:sz="4" w:space="0"/>
          <w:bottom w:val="none" w:color="000000" w:sz="4" w:space="0"/>
          <w:right w:val="none" w:color="000000" w:sz="4" w:space="0"/>
        </w:pBdr>
        <w:spacing w:after="0" w:line="276" w:lineRule="atLeast"/>
        <w:ind w:left="992"/>
        <w:jc w:val="left"/>
        <w:rPr>
          <w:rFonts w:ascii="Calibri" w:hAnsi="Calibri" w:eastAsia="Calibri" w:cs="Calibri"/>
          <w:color w:val="000000"/>
          <w:sz w:val="22"/>
          <w:szCs w:val="22"/>
        </w:rPr>
      </w:pPr>
      <w:r>
        <w:rPr>
          <w:rFonts w:ascii="Calibri" w:hAnsi="Calibri" w:eastAsia="Calibri" w:cs="Calibri"/>
          <w:color w:val="000000"/>
          <w:sz w:val="22"/>
          <w:szCs w:val="22"/>
        </w:rPr>
        <w:t xml:space="preserve">b.1) Concimi; b.2) Antiparassitari; b.3) Diserbanti; b.4) Piantine/sementi; b.5) Carburanti/lubrificanti</w:t>
      </w:r>
      <w:r>
        <w:rPr>
          <w:rFonts w:ascii="Calibri" w:hAnsi="Calibri" w:eastAsia="Calibri" w:cs="Calibri"/>
          <w:color w:val="000000"/>
          <w:sz w:val="22"/>
          <w:szCs w:val="22"/>
        </w:rPr>
      </w:r>
      <w:r>
        <w:rPr>
          <w:rFonts w:ascii="Calibri" w:hAnsi="Calibri" w:eastAsia="Calibri" w:cs="Calibri"/>
          <w:color w:val="000000"/>
          <w:sz w:val="22"/>
          <w:szCs w:val="22"/>
        </w:rPr>
      </w:r>
    </w:p>
    <w:p>
      <w:pPr>
        <w:pBdr>
          <w:top w:val="none" w:color="000000" w:sz="4" w:space="0"/>
          <w:left w:val="none" w:color="000000" w:sz="4" w:space="0"/>
          <w:bottom w:val="none" w:color="000000" w:sz="4" w:space="0"/>
          <w:right w:val="none" w:color="000000" w:sz="4" w:space="0"/>
        </w:pBdr>
        <w:spacing w:after="0" w:line="276" w:lineRule="atLeast"/>
        <w:ind w:left="709"/>
        <w:jc w:val="left"/>
        <w:rPr/>
      </w:pPr>
      <w:r>
        <w:rPr>
          <w:rFonts w:ascii="Calibri" w:hAnsi="Calibri" w:eastAsia="Calibri" w:cs="Calibri"/>
          <w:b/>
          <w:color w:val="000000"/>
          <w:sz w:val="22"/>
        </w:rPr>
        <w:t xml:space="preserve">c) Noleggio e contoterzismo</w:t>
      </w:r>
      <w:r/>
      <w:r/>
    </w:p>
    <w:p>
      <w:pPr>
        <w:pBdr>
          <w:top w:val="none" w:color="000000" w:sz="4" w:space="0"/>
          <w:left w:val="none" w:color="000000" w:sz="4" w:space="0"/>
          <w:bottom w:val="none" w:color="000000" w:sz="4" w:space="0"/>
          <w:right w:val="none" w:color="000000" w:sz="4" w:space="0"/>
        </w:pBdr>
        <w:spacing w:after="0" w:line="276" w:lineRule="atLeast"/>
        <w:ind w:left="709"/>
        <w:jc w:val="left"/>
        <w:rPr/>
      </w:pPr>
      <w:r>
        <w:rPr>
          <w:rFonts w:ascii="Calibri" w:hAnsi="Calibri" w:eastAsia="Calibri" w:cs="Calibri"/>
          <w:b/>
          <w:color w:val="000000"/>
          <w:sz w:val="22"/>
        </w:rPr>
        <w:t xml:space="preserve">Totale costi colturali (</w:t>
      </w:r>
      <w:r>
        <w:rPr>
          <w:rFonts w:ascii="Calibri" w:hAnsi="Calibri" w:eastAsia="Calibri" w:cs="Calibri"/>
          <w:b/>
          <w:color w:val="000000"/>
          <w:sz w:val="22"/>
        </w:rPr>
        <w:t xml:space="preserve">a+b+c</w:t>
      </w:r>
      <w:r>
        <w:rPr>
          <w:rFonts w:ascii="Calibri" w:hAnsi="Calibri" w:eastAsia="Calibri" w:cs="Calibri"/>
          <w:b/>
          <w:color w:val="000000"/>
          <w:sz w:val="22"/>
        </w:rPr>
        <w:t xml:space="preserve">)</w:t>
      </w:r>
      <w:r/>
      <w:r/>
    </w:p>
    <w:p>
      <w:pPr>
        <w:pBdr>
          <w:top w:val="none" w:color="000000" w:sz="4" w:space="0"/>
          <w:left w:val="none" w:color="000000" w:sz="4" w:space="0"/>
          <w:bottom w:val="none" w:color="000000" w:sz="4" w:space="0"/>
          <w:right w:val="none" w:color="000000" w:sz="4" w:space="0"/>
        </w:pBdr>
        <w:spacing w:after="0" w:line="276" w:lineRule="atLeast"/>
        <w:ind w:left="992"/>
        <w:jc w:val="left"/>
        <w:rPr>
          <w:rFonts w:ascii="Calibri" w:hAnsi="Calibri" w:eastAsia="Calibri" w:cs="Calibri"/>
          <w:color w:val="000000"/>
          <w:sz w:val="22"/>
          <w:szCs w:val="22"/>
        </w:rPr>
      </w:pPr>
      <w:r>
        <w:rPr>
          <w:rFonts w:ascii="Calibri" w:hAnsi="Calibri" w:eastAsia="Calibri" w:cs="Calibri"/>
          <w:color w:val="000000"/>
          <w:sz w:val="22"/>
          <w:szCs w:val="22"/>
        </w:rPr>
        <w:t xml:space="preserve">Produzione (q/ha)</w:t>
      </w:r>
      <w:r>
        <w:rPr>
          <w:rFonts w:ascii="Calibri" w:hAnsi="Calibri" w:eastAsia="Calibri" w:cs="Calibri"/>
          <w:color w:val="000000"/>
          <w:sz w:val="22"/>
          <w:szCs w:val="22"/>
        </w:rPr>
      </w:r>
      <w:r>
        <w:rPr>
          <w:rFonts w:ascii="Calibri" w:hAnsi="Calibri" w:eastAsia="Calibri" w:cs="Calibri"/>
          <w:color w:val="000000"/>
          <w:sz w:val="22"/>
          <w:szCs w:val="22"/>
        </w:rPr>
      </w:r>
    </w:p>
    <w:p>
      <w:pPr>
        <w:pBdr>
          <w:top w:val="none" w:color="000000" w:sz="4" w:space="0"/>
          <w:left w:val="none" w:color="000000" w:sz="4" w:space="0"/>
          <w:bottom w:val="none" w:color="000000" w:sz="4" w:space="0"/>
          <w:right w:val="none" w:color="000000" w:sz="4" w:space="0"/>
        </w:pBdr>
        <w:spacing w:after="0" w:line="276" w:lineRule="atLeast"/>
        <w:ind w:left="992"/>
        <w:jc w:val="left"/>
        <w:rPr>
          <w:rFonts w:ascii="Calibri" w:hAnsi="Calibri" w:eastAsia="Calibri" w:cs="Calibri"/>
          <w:color w:val="000000"/>
          <w:sz w:val="22"/>
          <w:szCs w:val="22"/>
        </w:rPr>
      </w:pPr>
      <w:r>
        <w:rPr>
          <w:rFonts w:ascii="Calibri" w:hAnsi="Calibri" w:eastAsia="Calibri" w:cs="Calibri"/>
          <w:color w:val="000000"/>
          <w:sz w:val="22"/>
          <w:szCs w:val="22"/>
        </w:rPr>
        <w:t xml:space="preserve">Prezzo (€/q)</w:t>
      </w:r>
      <w:r>
        <w:rPr>
          <w:rFonts w:ascii="Calibri" w:hAnsi="Calibri" w:eastAsia="Calibri" w:cs="Calibri"/>
          <w:color w:val="000000"/>
          <w:sz w:val="22"/>
          <w:szCs w:val="22"/>
        </w:rPr>
      </w:r>
      <w:r>
        <w:rPr>
          <w:rFonts w:ascii="Calibri" w:hAnsi="Calibri" w:eastAsia="Calibri" w:cs="Calibri"/>
          <w:color w:val="000000"/>
          <w:sz w:val="22"/>
          <w:szCs w:val="22"/>
        </w:rPr>
      </w:r>
    </w:p>
    <w:p>
      <w:pPr>
        <w:pBdr>
          <w:top w:val="none" w:color="000000" w:sz="4" w:space="0"/>
          <w:left w:val="none" w:color="000000" w:sz="4" w:space="0"/>
          <w:bottom w:val="none" w:color="000000" w:sz="4" w:space="0"/>
          <w:right w:val="none" w:color="000000" w:sz="4" w:space="0"/>
        </w:pBdr>
        <w:spacing w:after="0" w:line="276" w:lineRule="atLeast"/>
        <w:ind w:left="709"/>
        <w:jc w:val="left"/>
        <w:rPr>
          <w:rFonts w:ascii="Calibri" w:hAnsi="Calibri" w:eastAsia="Calibri" w:cs="Calibri"/>
          <w:b/>
          <w:bCs/>
          <w:color w:val="000000"/>
          <w:sz w:val="22"/>
          <w:szCs w:val="22"/>
        </w:rPr>
      </w:pPr>
      <w:r>
        <w:rPr>
          <w:rFonts w:ascii="Calibri" w:hAnsi="Calibri" w:eastAsia="Calibri" w:cs="Calibri"/>
          <w:b/>
          <w:color w:val="000000"/>
          <w:sz w:val="22"/>
        </w:rPr>
        <w:t xml:space="preserve">PLV</w:t>
      </w:r>
      <w:r>
        <w:rPr>
          <w:rFonts w:ascii="Calibri" w:hAnsi="Calibri" w:eastAsia="Calibri" w:cs="Calibri"/>
          <w:b/>
          <w:bCs/>
          <w:color w:val="000000"/>
          <w:sz w:val="22"/>
          <w:szCs w:val="22"/>
        </w:rPr>
      </w:r>
      <w:r>
        <w:rPr>
          <w:rFonts w:ascii="Calibri" w:hAnsi="Calibri" w:eastAsia="Calibri" w:cs="Calibri"/>
          <w:b/>
          <w:bCs/>
          <w:color w:val="000000"/>
          <w:sz w:val="22"/>
          <w:szCs w:val="22"/>
        </w:rPr>
      </w:r>
    </w:p>
    <w:p>
      <w:pPr>
        <w:pBdr>
          <w:top w:val="none" w:color="000000" w:sz="4" w:space="0"/>
          <w:left w:val="none" w:color="000000" w:sz="4" w:space="0"/>
          <w:bottom w:val="none" w:color="000000" w:sz="4" w:space="0"/>
          <w:right w:val="none" w:color="000000" w:sz="4" w:space="0"/>
        </w:pBdr>
        <w:spacing w:after="0" w:line="276" w:lineRule="atLeast"/>
        <w:ind w:left="709"/>
        <w:jc w:val="left"/>
        <w:rPr>
          <w:sz w:val="24"/>
          <w:szCs w:val="24"/>
        </w:rPr>
      </w:pPr>
      <w:r>
        <w:rPr>
          <w:sz w:val="24"/>
          <w:szCs w:val="24"/>
        </w:rPr>
      </w:r>
      <w:r>
        <w:rPr>
          <w:sz w:val="24"/>
          <w:szCs w:val="24"/>
        </w:rPr>
      </w:r>
      <w:r>
        <w:rPr>
          <w:sz w:val="24"/>
          <w:szCs w:val="24"/>
        </w:rPr>
      </w:r>
    </w:p>
    <w:p>
      <w:pPr>
        <w:pStyle w:val="668"/>
        <w:numPr>
          <w:ilvl w:val="0"/>
          <w:numId w:val="1"/>
        </w:numPr>
        <w:pBdr/>
        <w:spacing/>
        <w:ind/>
        <w:rPr/>
      </w:pPr>
      <w:r>
        <w:t xml:space="preserve">DESCRIZIONE DELLE IMPRESE AGRICOLE e/o ZOOTECNICHE CHE OPERERANNO NEL CAMPO AGRIVOLTAICO</w:t>
      </w:r>
      <w:r/>
      <w:r/>
    </w:p>
    <w:p>
      <w:pPr>
        <w:pBdr/>
        <w:spacing/>
        <w:ind w:left="709"/>
        <w:rPr>
          <w:sz w:val="24"/>
          <w:szCs w:val="24"/>
        </w:rPr>
      </w:pPr>
      <w:r>
        <w:rPr>
          <w:sz w:val="24"/>
          <w:szCs w:val="24"/>
        </w:rPr>
        <w:t xml:space="preserve">In questo paragrafo è richiesto, in particolare, di fare riferimento al parco macchine </w:t>
      </w:r>
      <w:r>
        <w:rPr>
          <w:sz w:val="24"/>
          <w:szCs w:val="24"/>
        </w:rPr>
        <w:t xml:space="preserve">disponibile in azienda e alla sua eventuale integrazione, in funzione della presenza nel campo della componente fotovoltaica.</w:t>
      </w:r>
      <w:r>
        <w:rPr>
          <w:sz w:val="24"/>
          <w:szCs w:val="24"/>
        </w:rPr>
      </w:r>
      <w:r>
        <w:rPr>
          <w:sz w:val="24"/>
          <w:szCs w:val="24"/>
        </w:rPr>
      </w:r>
    </w:p>
    <w:p>
      <w:pPr>
        <w:pStyle w:val="668"/>
        <w:numPr>
          <w:ilvl w:val="0"/>
          <w:numId w:val="1"/>
        </w:numPr>
        <w:pBdr>
          <w:top w:val="none" w:color="000000" w:sz="4" w:space="0"/>
          <w:left w:val="none" w:color="000000" w:sz="4" w:space="0"/>
          <w:bottom w:val="none" w:color="000000" w:sz="4" w:space="0"/>
          <w:right w:val="none" w:color="000000" w:sz="4" w:space="0"/>
        </w:pBdr>
        <w:spacing w:line="264" w:lineRule="auto"/>
        <w:ind/>
        <w:rPr/>
      </w:pPr>
      <w:r>
        <w:t xml:space="preserve">DATI AZIENDALI E SCHEDA DELLE ATTIVITÀ COLTURALI (ALLEGATO 1)</w:t>
      </w:r>
      <w:r/>
      <w:r/>
    </w:p>
    <w:p>
      <w:pPr>
        <w:pStyle w:val="668"/>
        <w:numPr>
          <w:ilvl w:val="0"/>
          <w:numId w:val="1"/>
        </w:numPr>
        <w:pBdr/>
        <w:spacing w:before="34"/>
        <w:ind/>
        <w:rPr/>
      </w:pPr>
      <w:r>
        <w:t xml:space="preserve">DESCRIZIONE DELLE FASCE DI MITIGAZIONE</w:t>
      </w:r>
      <w:r/>
      <w:r/>
    </w:p>
    <w:p>
      <w:pPr>
        <w:pBdr/>
        <w:spacing/>
        <w:ind w:left="709"/>
        <w:rPr>
          <w:sz w:val="24"/>
          <w:szCs w:val="24"/>
        </w:rPr>
      </w:pPr>
      <w:r>
        <w:rPr>
          <w:sz w:val="24"/>
          <w:szCs w:val="24"/>
        </w:rPr>
        <w:t xml:space="preserve">Le fasce di mitigazione non sono solo un requisito paesaggistico, ma svolgono funzioni ecologiche e agronomiche importanti (es. corridoi ecologici, habitat per impollinatori/</w:t>
      </w:r>
      <w:r>
        <w:rPr>
          <w:sz w:val="24"/>
          <w:szCs w:val="24"/>
        </w:rPr>
        <w:t xml:space="preserve">auxiliari</w:t>
      </w:r>
      <w:r>
        <w:rPr>
          <w:sz w:val="24"/>
          <w:szCs w:val="24"/>
        </w:rPr>
        <w:t xml:space="preserve">, protezione dal vento, miglioramento del microclima). La loro pianificazione agronomica è cruciale per l'integrazione ambientale del </w:t>
      </w:r>
      <w:r>
        <w:rPr>
          <w:sz w:val="24"/>
          <w:szCs w:val="24"/>
        </w:rPr>
        <w:t xml:space="preserve">progetto. In questo paragrafo è quindi richiesto di motivare le scelte delle essenze vegetali che andranno a costituire la fascia di mitigazione nonché le attività di cura e gestione nel tempo. Dovrebbero essere utilizzate le specie indicate nell’Allegato </w:t>
      </w:r>
      <w:r>
        <w:rPr>
          <w:sz w:val="24"/>
          <w:szCs w:val="24"/>
        </w:rPr>
        <w:t xml:space="preserve">3</w:t>
      </w:r>
      <w:r>
        <w:rPr>
          <w:sz w:val="24"/>
          <w:szCs w:val="24"/>
        </w:rPr>
        <w:t xml:space="preserve"> che individua la flora autoctona della regione Campania per fasce altitudinali. Le piante dovrebbero essere “a pronto effetto” al fine di assicurare una più rapida azione di mitigazione.</w:t>
      </w:r>
      <w:r>
        <w:rPr>
          <w:sz w:val="24"/>
          <w:szCs w:val="24"/>
        </w:rPr>
      </w:r>
      <w:r>
        <w:rPr>
          <w:sz w:val="24"/>
          <w:szCs w:val="24"/>
        </w:rPr>
      </w:r>
    </w:p>
    <w:p>
      <w:pPr>
        <w:pBdr/>
        <w:spacing/>
        <w:ind/>
        <w:rPr/>
      </w:pPr>
      <w: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Arial">
    <w:panose1 w:val="020B060402020202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 w:id="2">
    <w:p>
      <w:pPr>
        <w:pStyle w:val="180"/>
        <w:pBdr/>
        <w:spacing/>
        <w:ind/>
        <w:rPr/>
      </w:pPr>
      <w:r>
        <w:rPr>
          <w:rStyle w:val="182"/>
        </w:rPr>
        <w:footnoteRef/>
      </w:r>
      <w:r>
        <w:t xml:space="preserve"> Si fa riferimento al</w:t>
      </w:r>
      <w:r>
        <w:t xml:space="preserve">l’Allegato IX “Elenco delle specie di interesse apistico” di cui all’articolo 21, comma 1 del Decreto MASAF 23 dicembre 2023” Disposizioni nazionali di applicazione del regolamento (UE) 2021/2115 del Parlamento europeo e del Consiglio del 2 dicembre 2021.”</w:t>
      </w: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it-IT"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665"/>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66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66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66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66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66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66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66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66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66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66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66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66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66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66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66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66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66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66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66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66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66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66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66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66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66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66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66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66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66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66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66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66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66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66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66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66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66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66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66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66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66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66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66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66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66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66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66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66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66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66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66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66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66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66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66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66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66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66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66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66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66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66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66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66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66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66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66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66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66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66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66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66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66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66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66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66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66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66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66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66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66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66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66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66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66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66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66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66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66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66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6">
    <w:name w:val="Lined - Accent"/>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66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66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66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66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66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66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66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66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66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66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66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66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66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66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name w:val="Heading 1"/>
    <w:basedOn w:val="664"/>
    <w:next w:val="664"/>
    <w:link w:val="149"/>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39">
    <w:name w:val="Heading 2"/>
    <w:basedOn w:val="664"/>
    <w:next w:val="664"/>
    <w:link w:val="150"/>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0">
    <w:name w:val="Heading 3"/>
    <w:basedOn w:val="664"/>
    <w:next w:val="664"/>
    <w:link w:val="15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1">
    <w:name w:val="Heading 4"/>
    <w:basedOn w:val="664"/>
    <w:next w:val="664"/>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664"/>
    <w:next w:val="664"/>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664"/>
    <w:next w:val="664"/>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664"/>
    <w:next w:val="664"/>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664"/>
    <w:next w:val="664"/>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664"/>
    <w:next w:val="664"/>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7" w:default="1">
    <w:name w:val="Default Paragraph Font"/>
    <w:uiPriority w:val="1"/>
    <w:semiHidden/>
    <w:unhideWhenUsed/>
    <w:pPr>
      <w:pBdr/>
      <w:spacing/>
      <w:ind/>
    </w:pPr>
  </w:style>
  <w:style w:type="character" w:styleId="149">
    <w:name w:val="Heading 1 Char"/>
    <w:basedOn w:val="147"/>
    <w:link w:val="138"/>
    <w:uiPriority w:val="9"/>
    <w:pPr>
      <w:pBdr/>
      <w:spacing/>
      <w:ind/>
    </w:pPr>
    <w:rPr>
      <w:rFonts w:ascii="Arial" w:hAnsi="Arial" w:eastAsia="Arial" w:cs="Arial"/>
      <w:color w:val="0f4761" w:themeColor="accent1" w:themeShade="BF"/>
      <w:sz w:val="40"/>
      <w:szCs w:val="40"/>
    </w:rPr>
  </w:style>
  <w:style w:type="character" w:styleId="150">
    <w:name w:val="Heading 2 Char"/>
    <w:basedOn w:val="147"/>
    <w:link w:val="139"/>
    <w:uiPriority w:val="9"/>
    <w:pPr>
      <w:pBdr/>
      <w:spacing/>
      <w:ind/>
    </w:pPr>
    <w:rPr>
      <w:rFonts w:ascii="Arial" w:hAnsi="Arial" w:eastAsia="Arial" w:cs="Arial"/>
      <w:color w:val="0f4761" w:themeColor="accent1" w:themeShade="BF"/>
      <w:sz w:val="32"/>
      <w:szCs w:val="32"/>
    </w:rPr>
  </w:style>
  <w:style w:type="character" w:styleId="151">
    <w:name w:val="Heading 3 Char"/>
    <w:basedOn w:val="147"/>
    <w:link w:val="140"/>
    <w:uiPriority w:val="9"/>
    <w:pPr>
      <w:pBdr/>
      <w:spacing/>
      <w:ind/>
    </w:pPr>
    <w:rPr>
      <w:rFonts w:ascii="Arial" w:hAnsi="Arial" w:eastAsia="Arial" w:cs="Arial"/>
      <w:color w:val="0f4761" w:themeColor="accent1" w:themeShade="BF"/>
      <w:sz w:val="28"/>
      <w:szCs w:val="28"/>
    </w:rPr>
  </w:style>
  <w:style w:type="character" w:styleId="152">
    <w:name w:val="Heading 4 Char"/>
    <w:basedOn w:val="147"/>
    <w:link w:val="141"/>
    <w:uiPriority w:val="9"/>
    <w:pPr>
      <w:pBdr/>
      <w:spacing/>
      <w:ind/>
    </w:pPr>
    <w:rPr>
      <w:rFonts w:ascii="Arial" w:hAnsi="Arial" w:eastAsia="Arial" w:cs="Arial"/>
      <w:i/>
      <w:iCs/>
      <w:color w:val="0f4761" w:themeColor="accent1" w:themeShade="BF"/>
    </w:rPr>
  </w:style>
  <w:style w:type="character" w:styleId="153">
    <w:name w:val="Heading 5 Char"/>
    <w:basedOn w:val="147"/>
    <w:link w:val="142"/>
    <w:uiPriority w:val="9"/>
    <w:pPr>
      <w:pBdr/>
      <w:spacing/>
      <w:ind/>
    </w:pPr>
    <w:rPr>
      <w:rFonts w:ascii="Arial" w:hAnsi="Arial" w:eastAsia="Arial" w:cs="Arial"/>
      <w:color w:val="0f4761" w:themeColor="accent1" w:themeShade="BF"/>
    </w:rPr>
  </w:style>
  <w:style w:type="character" w:styleId="154">
    <w:name w:val="Heading 6 Char"/>
    <w:basedOn w:val="147"/>
    <w:link w:val="143"/>
    <w:uiPriority w:val="9"/>
    <w:pPr>
      <w:pBdr/>
      <w:spacing/>
      <w:ind/>
    </w:pPr>
    <w:rPr>
      <w:rFonts w:ascii="Arial" w:hAnsi="Arial" w:eastAsia="Arial" w:cs="Arial"/>
      <w:i/>
      <w:iCs/>
      <w:color w:val="595959" w:themeColor="text1" w:themeTint="A6"/>
    </w:rPr>
  </w:style>
  <w:style w:type="character" w:styleId="155">
    <w:name w:val="Heading 7 Char"/>
    <w:basedOn w:val="147"/>
    <w:link w:val="144"/>
    <w:uiPriority w:val="9"/>
    <w:pPr>
      <w:pBdr/>
      <w:spacing/>
      <w:ind/>
    </w:pPr>
    <w:rPr>
      <w:rFonts w:ascii="Arial" w:hAnsi="Arial" w:eastAsia="Arial" w:cs="Arial"/>
      <w:color w:val="595959" w:themeColor="text1" w:themeTint="A6"/>
    </w:rPr>
  </w:style>
  <w:style w:type="character" w:styleId="156">
    <w:name w:val="Heading 8 Char"/>
    <w:basedOn w:val="147"/>
    <w:link w:val="145"/>
    <w:uiPriority w:val="9"/>
    <w:pPr>
      <w:pBdr/>
      <w:spacing/>
      <w:ind/>
    </w:pPr>
    <w:rPr>
      <w:rFonts w:ascii="Arial" w:hAnsi="Arial" w:eastAsia="Arial" w:cs="Arial"/>
      <w:i/>
      <w:iCs/>
      <w:color w:val="272727" w:themeColor="text1" w:themeTint="D8"/>
    </w:rPr>
  </w:style>
  <w:style w:type="character" w:styleId="157">
    <w:name w:val="Heading 9 Char"/>
    <w:basedOn w:val="147"/>
    <w:link w:val="146"/>
    <w:uiPriority w:val="9"/>
    <w:pPr>
      <w:pBdr/>
      <w:spacing/>
      <w:ind/>
    </w:pPr>
    <w:rPr>
      <w:rFonts w:ascii="Arial" w:hAnsi="Arial" w:eastAsia="Arial" w:cs="Arial"/>
      <w:i/>
      <w:iCs/>
      <w:color w:val="272727" w:themeColor="text1" w:themeTint="D8"/>
    </w:rPr>
  </w:style>
  <w:style w:type="paragraph" w:styleId="158">
    <w:name w:val="Title"/>
    <w:basedOn w:val="664"/>
    <w:next w:val="664"/>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147"/>
    <w:link w:val="158"/>
    <w:uiPriority w:val="10"/>
    <w:pPr>
      <w:pBdr/>
      <w:spacing/>
      <w:ind/>
    </w:pPr>
    <w:rPr>
      <w:rFonts w:ascii="Arial" w:hAnsi="Arial" w:eastAsia="Arial" w:cs="Arial"/>
      <w:spacing w:val="-10"/>
      <w:sz w:val="56"/>
      <w:szCs w:val="56"/>
    </w:rPr>
  </w:style>
  <w:style w:type="paragraph" w:styleId="160">
    <w:name w:val="Subtitle"/>
    <w:basedOn w:val="664"/>
    <w:next w:val="664"/>
    <w:link w:val="161"/>
    <w:uiPriority w:val="11"/>
    <w:qFormat/>
    <w:pPr>
      <w:numPr>
        <w:ilvl w:val="1"/>
      </w:numPr>
      <w:pBdr/>
      <w:spacing/>
      <w:ind/>
    </w:pPr>
    <w:rPr>
      <w:color w:val="595959" w:themeColor="text1" w:themeTint="A6"/>
      <w:spacing w:val="15"/>
      <w:sz w:val="28"/>
      <w:szCs w:val="28"/>
    </w:rPr>
  </w:style>
  <w:style w:type="character" w:styleId="161">
    <w:name w:val="Subtitle Char"/>
    <w:basedOn w:val="147"/>
    <w:link w:val="160"/>
    <w:uiPriority w:val="11"/>
    <w:pPr>
      <w:pBdr/>
      <w:spacing/>
      <w:ind/>
    </w:pPr>
    <w:rPr>
      <w:color w:val="595959" w:themeColor="text1" w:themeTint="A6"/>
      <w:spacing w:val="15"/>
      <w:sz w:val="28"/>
      <w:szCs w:val="28"/>
    </w:rPr>
  </w:style>
  <w:style w:type="paragraph" w:styleId="162">
    <w:name w:val="Quote"/>
    <w:basedOn w:val="664"/>
    <w:next w:val="664"/>
    <w:link w:val="163"/>
    <w:uiPriority w:val="29"/>
    <w:qFormat/>
    <w:pPr>
      <w:pBdr/>
      <w:spacing w:before="160"/>
      <w:ind/>
      <w:jc w:val="center"/>
    </w:pPr>
    <w:rPr>
      <w:i/>
      <w:iCs/>
      <w:color w:val="404040" w:themeColor="text1" w:themeTint="BF"/>
    </w:rPr>
  </w:style>
  <w:style w:type="character" w:styleId="163">
    <w:name w:val="Quote Char"/>
    <w:basedOn w:val="147"/>
    <w:link w:val="162"/>
    <w:uiPriority w:val="29"/>
    <w:pPr>
      <w:pBdr/>
      <w:spacing/>
      <w:ind/>
    </w:pPr>
    <w:rPr>
      <w:i/>
      <w:iCs/>
      <w:color w:val="404040" w:themeColor="text1" w:themeTint="BF"/>
    </w:rPr>
  </w:style>
  <w:style w:type="character" w:styleId="165">
    <w:name w:val="Intense Emphasis"/>
    <w:basedOn w:val="147"/>
    <w:uiPriority w:val="21"/>
    <w:qFormat/>
    <w:pPr>
      <w:pBdr/>
      <w:spacing/>
      <w:ind/>
    </w:pPr>
    <w:rPr>
      <w:i/>
      <w:iCs/>
      <w:color w:val="0f4761" w:themeColor="accent1" w:themeShade="BF"/>
    </w:rPr>
  </w:style>
  <w:style w:type="paragraph" w:styleId="166">
    <w:name w:val="Intense Quote"/>
    <w:basedOn w:val="664"/>
    <w:next w:val="664"/>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47"/>
    <w:link w:val="166"/>
    <w:uiPriority w:val="30"/>
    <w:pPr>
      <w:pBdr/>
      <w:spacing/>
      <w:ind/>
    </w:pPr>
    <w:rPr>
      <w:i/>
      <w:iCs/>
      <w:color w:val="0f4761" w:themeColor="accent1" w:themeShade="BF"/>
    </w:rPr>
  </w:style>
  <w:style w:type="character" w:styleId="168">
    <w:name w:val="Intense Reference"/>
    <w:basedOn w:val="147"/>
    <w:uiPriority w:val="32"/>
    <w:qFormat/>
    <w:pPr>
      <w:pBdr/>
      <w:spacing/>
      <w:ind/>
    </w:pPr>
    <w:rPr>
      <w:b/>
      <w:bCs/>
      <w:smallCaps/>
      <w:color w:val="0f4761" w:themeColor="accent1" w:themeShade="BF"/>
      <w:spacing w:val="5"/>
    </w:rPr>
  </w:style>
  <w:style w:type="character" w:styleId="170">
    <w:name w:val="Subtle Emphasis"/>
    <w:basedOn w:val="147"/>
    <w:uiPriority w:val="19"/>
    <w:qFormat/>
    <w:pPr>
      <w:pBdr/>
      <w:spacing/>
      <w:ind/>
    </w:pPr>
    <w:rPr>
      <w:i/>
      <w:iCs/>
      <w:color w:val="404040" w:themeColor="text1" w:themeTint="BF"/>
    </w:rPr>
  </w:style>
  <w:style w:type="character" w:styleId="171">
    <w:name w:val="Emphasis"/>
    <w:basedOn w:val="147"/>
    <w:uiPriority w:val="20"/>
    <w:qFormat/>
    <w:pPr>
      <w:pBdr/>
      <w:spacing/>
      <w:ind/>
    </w:pPr>
    <w:rPr>
      <w:i/>
      <w:iCs/>
    </w:rPr>
  </w:style>
  <w:style w:type="character" w:styleId="172">
    <w:name w:val="Strong"/>
    <w:basedOn w:val="147"/>
    <w:uiPriority w:val="22"/>
    <w:qFormat/>
    <w:pPr>
      <w:pBdr/>
      <w:spacing/>
      <w:ind/>
    </w:pPr>
    <w:rPr>
      <w:b/>
      <w:bCs/>
    </w:rPr>
  </w:style>
  <w:style w:type="character" w:styleId="173">
    <w:name w:val="Subtle Reference"/>
    <w:basedOn w:val="147"/>
    <w:uiPriority w:val="31"/>
    <w:qFormat/>
    <w:pPr>
      <w:pBdr/>
      <w:spacing/>
      <w:ind/>
    </w:pPr>
    <w:rPr>
      <w:smallCaps/>
      <w:color w:val="5a5a5a" w:themeColor="text1" w:themeTint="A5"/>
    </w:rPr>
  </w:style>
  <w:style w:type="character" w:styleId="174">
    <w:name w:val="Book Title"/>
    <w:basedOn w:val="147"/>
    <w:uiPriority w:val="33"/>
    <w:qFormat/>
    <w:pPr>
      <w:pBdr/>
      <w:spacing/>
      <w:ind/>
    </w:pPr>
    <w:rPr>
      <w:b/>
      <w:bCs/>
      <w:i/>
      <w:iCs/>
      <w:spacing w:val="5"/>
    </w:rPr>
  </w:style>
  <w:style w:type="paragraph" w:styleId="175">
    <w:name w:val="Header"/>
    <w:basedOn w:val="664"/>
    <w:link w:val="176"/>
    <w:uiPriority w:val="99"/>
    <w:unhideWhenUsed/>
    <w:pPr>
      <w:pBdr/>
      <w:tabs>
        <w:tab w:val="center" w:leader="none" w:pos="4844"/>
        <w:tab w:val="right" w:leader="none" w:pos="9689"/>
      </w:tabs>
      <w:spacing w:after="0" w:line="240" w:lineRule="auto"/>
      <w:ind/>
    </w:pPr>
  </w:style>
  <w:style w:type="character" w:styleId="176">
    <w:name w:val="Header Char"/>
    <w:basedOn w:val="147"/>
    <w:link w:val="175"/>
    <w:uiPriority w:val="99"/>
    <w:pPr>
      <w:pBdr/>
      <w:spacing/>
      <w:ind/>
    </w:pPr>
  </w:style>
  <w:style w:type="paragraph" w:styleId="177">
    <w:name w:val="Footer"/>
    <w:basedOn w:val="664"/>
    <w:link w:val="178"/>
    <w:uiPriority w:val="99"/>
    <w:unhideWhenUsed/>
    <w:pPr>
      <w:pBdr/>
      <w:tabs>
        <w:tab w:val="center" w:leader="none" w:pos="4844"/>
        <w:tab w:val="right" w:leader="none" w:pos="9689"/>
      </w:tabs>
      <w:spacing w:after="0" w:line="240" w:lineRule="auto"/>
      <w:ind/>
    </w:pPr>
  </w:style>
  <w:style w:type="character" w:styleId="178">
    <w:name w:val="Footer Char"/>
    <w:basedOn w:val="147"/>
    <w:link w:val="177"/>
    <w:uiPriority w:val="99"/>
    <w:pPr>
      <w:pBdr/>
      <w:spacing/>
      <w:ind/>
    </w:pPr>
  </w:style>
  <w:style w:type="paragraph" w:styleId="179">
    <w:name w:val="Caption"/>
    <w:basedOn w:val="664"/>
    <w:next w:val="664"/>
    <w:uiPriority w:val="35"/>
    <w:unhideWhenUsed/>
    <w:qFormat/>
    <w:pPr>
      <w:pBdr/>
      <w:spacing w:after="200" w:line="240" w:lineRule="auto"/>
      <w:ind/>
    </w:pPr>
    <w:rPr>
      <w:i/>
      <w:iCs/>
      <w:color w:val="0e2841" w:themeColor="text2"/>
      <w:sz w:val="18"/>
      <w:szCs w:val="18"/>
    </w:rPr>
  </w:style>
  <w:style w:type="paragraph" w:styleId="180">
    <w:name w:val="footnote text"/>
    <w:basedOn w:val="664"/>
    <w:link w:val="181"/>
    <w:uiPriority w:val="99"/>
    <w:semiHidden/>
    <w:unhideWhenUsed/>
    <w:pPr>
      <w:pBdr/>
      <w:spacing w:after="0" w:line="240" w:lineRule="auto"/>
      <w:ind/>
    </w:pPr>
    <w:rPr>
      <w:sz w:val="20"/>
      <w:szCs w:val="20"/>
    </w:rPr>
  </w:style>
  <w:style w:type="character" w:styleId="181">
    <w:name w:val="Footnote Text Char"/>
    <w:basedOn w:val="147"/>
    <w:link w:val="180"/>
    <w:uiPriority w:val="99"/>
    <w:semiHidden/>
    <w:pPr>
      <w:pBdr/>
      <w:spacing/>
      <w:ind/>
    </w:pPr>
    <w:rPr>
      <w:sz w:val="20"/>
      <w:szCs w:val="20"/>
    </w:rPr>
  </w:style>
  <w:style w:type="character" w:styleId="182">
    <w:name w:val="footnote reference"/>
    <w:basedOn w:val="147"/>
    <w:uiPriority w:val="99"/>
    <w:semiHidden/>
    <w:unhideWhenUsed/>
    <w:pPr>
      <w:pBdr/>
      <w:spacing/>
      <w:ind/>
    </w:pPr>
    <w:rPr>
      <w:vertAlign w:val="superscript"/>
    </w:rPr>
  </w:style>
  <w:style w:type="paragraph" w:styleId="183">
    <w:name w:val="endnote text"/>
    <w:basedOn w:val="664"/>
    <w:link w:val="184"/>
    <w:uiPriority w:val="99"/>
    <w:semiHidden/>
    <w:unhideWhenUsed/>
    <w:pPr>
      <w:pBdr/>
      <w:spacing w:after="0" w:line="240" w:lineRule="auto"/>
      <w:ind/>
    </w:pPr>
    <w:rPr>
      <w:sz w:val="20"/>
      <w:szCs w:val="20"/>
    </w:rPr>
  </w:style>
  <w:style w:type="character" w:styleId="184">
    <w:name w:val="Endnote Text Char"/>
    <w:basedOn w:val="147"/>
    <w:link w:val="183"/>
    <w:uiPriority w:val="99"/>
    <w:semiHidden/>
    <w:pPr>
      <w:pBdr/>
      <w:spacing/>
      <w:ind/>
    </w:pPr>
    <w:rPr>
      <w:sz w:val="20"/>
      <w:szCs w:val="20"/>
    </w:rPr>
  </w:style>
  <w:style w:type="character" w:styleId="185">
    <w:name w:val="endnote reference"/>
    <w:basedOn w:val="147"/>
    <w:uiPriority w:val="99"/>
    <w:semiHidden/>
    <w:unhideWhenUsed/>
    <w:pPr>
      <w:pBdr/>
      <w:spacing/>
      <w:ind/>
    </w:pPr>
    <w:rPr>
      <w:vertAlign w:val="superscript"/>
    </w:rPr>
  </w:style>
  <w:style w:type="character" w:styleId="186">
    <w:name w:val="Hyperlink"/>
    <w:basedOn w:val="147"/>
    <w:uiPriority w:val="99"/>
    <w:unhideWhenUsed/>
    <w:pPr>
      <w:pBdr/>
      <w:spacing/>
      <w:ind/>
    </w:pPr>
    <w:rPr>
      <w:color w:val="0563c1" w:themeColor="hyperlink"/>
      <w:u w:val="single"/>
    </w:rPr>
  </w:style>
  <w:style w:type="character" w:styleId="187">
    <w:name w:val="FollowedHyperlink"/>
    <w:basedOn w:val="147"/>
    <w:uiPriority w:val="99"/>
    <w:semiHidden/>
    <w:unhideWhenUsed/>
    <w:pPr>
      <w:pBdr/>
      <w:spacing/>
      <w:ind/>
    </w:pPr>
    <w:rPr>
      <w:color w:val="954f72" w:themeColor="followedHyperlink"/>
      <w:u w:val="single"/>
    </w:rPr>
  </w:style>
  <w:style w:type="paragraph" w:styleId="188">
    <w:name w:val="toc 1"/>
    <w:basedOn w:val="664"/>
    <w:next w:val="664"/>
    <w:uiPriority w:val="39"/>
    <w:unhideWhenUsed/>
    <w:pPr>
      <w:pBdr/>
      <w:spacing w:after="100"/>
      <w:ind/>
    </w:pPr>
  </w:style>
  <w:style w:type="paragraph" w:styleId="189">
    <w:name w:val="toc 2"/>
    <w:basedOn w:val="664"/>
    <w:next w:val="664"/>
    <w:uiPriority w:val="39"/>
    <w:unhideWhenUsed/>
    <w:pPr>
      <w:pBdr/>
      <w:spacing w:after="100"/>
      <w:ind w:left="220"/>
    </w:pPr>
  </w:style>
  <w:style w:type="paragraph" w:styleId="190">
    <w:name w:val="toc 3"/>
    <w:basedOn w:val="664"/>
    <w:next w:val="664"/>
    <w:uiPriority w:val="39"/>
    <w:unhideWhenUsed/>
    <w:pPr>
      <w:pBdr/>
      <w:spacing w:after="100"/>
      <w:ind w:left="440"/>
    </w:pPr>
  </w:style>
  <w:style w:type="paragraph" w:styleId="191">
    <w:name w:val="toc 4"/>
    <w:basedOn w:val="664"/>
    <w:next w:val="664"/>
    <w:uiPriority w:val="39"/>
    <w:unhideWhenUsed/>
    <w:pPr>
      <w:pBdr/>
      <w:spacing w:after="100"/>
      <w:ind w:left="660"/>
    </w:pPr>
  </w:style>
  <w:style w:type="paragraph" w:styleId="192">
    <w:name w:val="toc 5"/>
    <w:basedOn w:val="664"/>
    <w:next w:val="664"/>
    <w:uiPriority w:val="39"/>
    <w:unhideWhenUsed/>
    <w:pPr>
      <w:pBdr/>
      <w:spacing w:after="100"/>
      <w:ind w:left="880"/>
    </w:pPr>
  </w:style>
  <w:style w:type="paragraph" w:styleId="193">
    <w:name w:val="toc 6"/>
    <w:basedOn w:val="664"/>
    <w:next w:val="664"/>
    <w:uiPriority w:val="39"/>
    <w:unhideWhenUsed/>
    <w:pPr>
      <w:pBdr/>
      <w:spacing w:after="100"/>
      <w:ind w:left="1100"/>
    </w:pPr>
  </w:style>
  <w:style w:type="paragraph" w:styleId="194">
    <w:name w:val="toc 7"/>
    <w:basedOn w:val="664"/>
    <w:next w:val="664"/>
    <w:uiPriority w:val="39"/>
    <w:unhideWhenUsed/>
    <w:pPr>
      <w:pBdr/>
      <w:spacing w:after="100"/>
      <w:ind w:left="1320"/>
    </w:pPr>
  </w:style>
  <w:style w:type="paragraph" w:styleId="195">
    <w:name w:val="toc 8"/>
    <w:basedOn w:val="664"/>
    <w:next w:val="664"/>
    <w:uiPriority w:val="39"/>
    <w:unhideWhenUsed/>
    <w:pPr>
      <w:pBdr/>
      <w:spacing w:after="100"/>
      <w:ind w:left="1540"/>
    </w:pPr>
  </w:style>
  <w:style w:type="paragraph" w:styleId="196">
    <w:name w:val="toc 9"/>
    <w:basedOn w:val="664"/>
    <w:next w:val="664"/>
    <w:uiPriority w:val="39"/>
    <w:unhideWhenUsed/>
    <w:pPr>
      <w:pBdr/>
      <w:spacing w:after="100"/>
      <w:ind w:left="1760"/>
    </w:pPr>
  </w:style>
  <w:style w:type="character" w:styleId="197">
    <w:name w:val="Placeholder Text"/>
    <w:basedOn w:val="147"/>
    <w:uiPriority w:val="99"/>
    <w:semiHidden/>
    <w:pPr>
      <w:pBdr/>
      <w:spacing/>
      <w:ind/>
    </w:pPr>
    <w:rPr>
      <w:color w:val="666666"/>
    </w:rPr>
  </w:style>
  <w:style w:type="paragraph" w:styleId="207">
    <w:name w:val="TOC Heading"/>
    <w:uiPriority w:val="39"/>
    <w:unhideWhenUsed/>
    <w:pPr>
      <w:pBdr/>
      <w:spacing/>
      <w:ind/>
    </w:pPr>
  </w:style>
  <w:style w:type="paragraph" w:styleId="208">
    <w:name w:val="table of figures"/>
    <w:basedOn w:val="664"/>
    <w:next w:val="664"/>
    <w:uiPriority w:val="99"/>
    <w:unhideWhenUsed/>
    <w:pPr>
      <w:pBdr/>
      <w:spacing w:after="0" w:afterAutospacing="0"/>
      <w:ind/>
    </w:pPr>
  </w:style>
  <w:style w:type="paragraph" w:styleId="664" w:default="1">
    <w:name w:val="Normal"/>
    <w:qFormat/>
    <w:pPr>
      <w:pBdr/>
      <w:spacing/>
      <w:ind/>
    </w:pPr>
  </w:style>
  <w:style w:type="table" w:styleId="66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66" w:default="1">
    <w:name w:val="No List"/>
    <w:uiPriority w:val="99"/>
    <w:semiHidden/>
    <w:unhideWhenUsed/>
    <w:pPr>
      <w:pBdr/>
      <w:spacing/>
      <w:ind/>
    </w:pPr>
  </w:style>
  <w:style w:type="paragraph" w:styleId="667">
    <w:name w:val="No Spacing"/>
    <w:basedOn w:val="664"/>
    <w:uiPriority w:val="1"/>
    <w:qFormat/>
    <w:pPr>
      <w:pBdr/>
      <w:spacing w:after="0" w:line="240" w:lineRule="auto"/>
      <w:ind/>
    </w:pPr>
  </w:style>
  <w:style w:type="paragraph" w:styleId="668">
    <w:name w:val="List Paragraph"/>
    <w:basedOn w:val="664"/>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ONLYOFFICE/9.0.0.172</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2025-07-14T03:47:27Z</dcterms:modified>
</cp:coreProperties>
</file>